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BF419" w14:textId="43638E43" w:rsidR="00190504" w:rsidRDefault="00190504" w:rsidP="00190504">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190504">
        <w:rPr>
          <w:rFonts w:ascii="Lato" w:eastAsia="Times New Roman" w:hAnsi="Lato" w:cs="Times New Roman"/>
          <w:color w:val="CC3300"/>
          <w:kern w:val="36"/>
          <w:sz w:val="36"/>
          <w:szCs w:val="36"/>
          <w:lang w:eastAsia="fr-BE"/>
          <w14:ligatures w14:val="none"/>
        </w:rPr>
        <w:t>L’Europe</w:t>
      </w:r>
      <w:r>
        <w:rPr>
          <w:rFonts w:ascii="Lato" w:eastAsia="Times New Roman" w:hAnsi="Lato" w:cs="Times New Roman"/>
          <w:color w:val="CC3300"/>
          <w:kern w:val="36"/>
          <w:sz w:val="36"/>
          <w:szCs w:val="36"/>
          <w:lang w:eastAsia="fr-BE"/>
          <w14:ligatures w14:val="none"/>
        </w:rPr>
        <w:t>,</w:t>
      </w:r>
      <w:r w:rsidRPr="00190504">
        <w:rPr>
          <w:rFonts w:ascii="Lato" w:eastAsia="Times New Roman" w:hAnsi="Lato" w:cs="Times New Roman"/>
          <w:color w:val="CC3300"/>
          <w:kern w:val="36"/>
          <w:sz w:val="36"/>
          <w:szCs w:val="36"/>
          <w:lang w:eastAsia="fr-BE"/>
          <w14:ligatures w14:val="none"/>
        </w:rPr>
        <w:t xml:space="preserve"> nouveau marché des producteurs indonésiens de fonte de nickel</w:t>
      </w:r>
    </w:p>
    <w:p w14:paraId="203A28E1" w14:textId="77777777" w:rsidR="008D138D" w:rsidRPr="00190504" w:rsidRDefault="008D138D" w:rsidP="00190504">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
    <w:p w14:paraId="1D709BF1" w14:textId="77777777" w:rsidR="00190504" w:rsidRPr="00190504" w:rsidRDefault="00190504" w:rsidP="0019050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90504">
        <w:rPr>
          <w:rFonts w:ascii="Lato" w:eastAsia="Times New Roman" w:hAnsi="Lato" w:cs="Times New Roman"/>
          <w:b/>
          <w:bCs/>
          <w:color w:val="000000"/>
          <w:kern w:val="0"/>
          <w:sz w:val="23"/>
          <w:szCs w:val="23"/>
          <w:lang w:eastAsia="fr-BE"/>
          <w14:ligatures w14:val="none"/>
        </w:rPr>
        <w:t>Les producteurs indonésiens de fonte brute de nickel (NPI) ciblent depuis peu les fabricants européens d’acier inoxydable. Ces derniers utilisent en majorité du ferronickel, mais la production de ce dernier a été réduite en raison de la baisse des cours du nickel et des perturbations en Nouvelle-Calédonie. Les producteurs d’acier inoxydable, dont les européens, cherchent de fait d’autres sources d’approvisionnement.</w:t>
      </w:r>
    </w:p>
    <w:p w14:paraId="041B1EC2" w14:textId="77777777" w:rsidR="00190504" w:rsidRPr="00190504" w:rsidRDefault="00190504" w:rsidP="0019050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90504">
        <w:rPr>
          <w:rFonts w:ascii="Lato" w:eastAsia="Times New Roman" w:hAnsi="Lato" w:cs="Times New Roman"/>
          <w:color w:val="000000"/>
          <w:kern w:val="0"/>
          <w:sz w:val="23"/>
          <w:szCs w:val="23"/>
          <w:lang w:eastAsia="fr-BE"/>
          <w14:ligatures w14:val="none"/>
        </w:rPr>
        <w:t> </w:t>
      </w:r>
    </w:p>
    <w:p w14:paraId="1F77A06A" w14:textId="77777777" w:rsidR="00190504" w:rsidRPr="00190504" w:rsidRDefault="00190504" w:rsidP="0019050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90504">
        <w:rPr>
          <w:rFonts w:ascii="Lato" w:eastAsia="Times New Roman" w:hAnsi="Lato" w:cs="Times New Roman"/>
          <w:color w:val="000000"/>
          <w:kern w:val="0"/>
          <w:sz w:val="23"/>
          <w:szCs w:val="23"/>
          <w:lang w:eastAsia="fr-BE"/>
          <w14:ligatures w14:val="none"/>
        </w:rPr>
        <w:t>La production de nickel, contenu dans le ferronickel, devrait reculer de près de 43.000 tonnes cette année, sur le volume initialement attendu de 3,42 millions de tonnes. La baisse de la production de ferronickel est une opportunité pour les producteurs indonésiens de fonte de nickel. « </w:t>
      </w:r>
      <w:r w:rsidRPr="00190504">
        <w:rPr>
          <w:rFonts w:ascii="Lato" w:eastAsia="Times New Roman" w:hAnsi="Lato" w:cs="Times New Roman"/>
          <w:i/>
          <w:iCs/>
          <w:color w:val="000000"/>
          <w:kern w:val="0"/>
          <w:sz w:val="23"/>
          <w:szCs w:val="23"/>
          <w:lang w:eastAsia="fr-BE"/>
          <w14:ligatures w14:val="none"/>
        </w:rPr>
        <w:t>Les producteurs d’acier inoxydable ont besoin de diversifier leurs approvisionnements et nous voulons conquérir d’autres marchés que la Chine </w:t>
      </w:r>
      <w:r w:rsidRPr="00190504">
        <w:rPr>
          <w:rFonts w:ascii="Lato" w:eastAsia="Times New Roman" w:hAnsi="Lato" w:cs="Times New Roman"/>
          <w:color w:val="000000"/>
          <w:kern w:val="0"/>
          <w:sz w:val="23"/>
          <w:szCs w:val="23"/>
          <w:lang w:eastAsia="fr-BE"/>
          <w14:ligatures w14:val="none"/>
        </w:rPr>
        <w:t>», a commenté un producteur indonésien.</w:t>
      </w:r>
    </w:p>
    <w:p w14:paraId="4B51D53A" w14:textId="77777777" w:rsidR="00190504" w:rsidRPr="00190504" w:rsidRDefault="00190504" w:rsidP="0019050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90504">
        <w:rPr>
          <w:rFonts w:ascii="Lato" w:eastAsia="Times New Roman" w:hAnsi="Lato" w:cs="Times New Roman"/>
          <w:color w:val="000000"/>
          <w:kern w:val="0"/>
          <w:sz w:val="23"/>
          <w:szCs w:val="23"/>
          <w:lang w:eastAsia="fr-BE"/>
          <w14:ligatures w14:val="none"/>
        </w:rPr>
        <w:t>Les contrats à destination de l’Europe sont noués par des négociants internationaux. Ils portent, pour l’heure, sur des volumes peu conséquents qui font figure de tests, et les prix obtenus manquent de direction claire. Les prix FOB Indonésie de la fonte de nickel, d’une teneur en métal comprise entre 10 et 14%, se scellaient récemment entre 118 et 119 $/t.</w:t>
      </w:r>
    </w:p>
    <w:p w14:paraId="1D6E004B" w14:textId="77777777" w:rsidR="00190504" w:rsidRPr="00190504" w:rsidRDefault="00190504" w:rsidP="0019050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90504">
        <w:rPr>
          <w:rFonts w:ascii="Lato" w:eastAsia="Times New Roman" w:hAnsi="Lato" w:cs="Times New Roman"/>
          <w:color w:val="000000"/>
          <w:kern w:val="0"/>
          <w:sz w:val="23"/>
          <w:szCs w:val="23"/>
          <w:lang w:eastAsia="fr-BE"/>
          <w14:ligatures w14:val="none"/>
        </w:rPr>
        <w:t>Selon le dernier bulletin officiel, l’Indonésie a exporté 12.835 tonnes de ferronickel vers les Pays-Bas en mars et avril et 10.037 tonnes ont été expédiées vers la Grande-Bretagne. La nomenclature du ferronickel et de la fonte de nickel étant identique, il est difficile de savoir quelle quantité de ferronickel revient au producteur </w:t>
      </w:r>
      <w:r w:rsidRPr="00190504">
        <w:rPr>
          <w:rFonts w:ascii="Lato" w:eastAsia="Times New Roman" w:hAnsi="Lato" w:cs="Times New Roman"/>
          <w:b/>
          <w:bCs/>
          <w:color w:val="000000"/>
          <w:kern w:val="0"/>
          <w:sz w:val="23"/>
          <w:szCs w:val="23"/>
          <w:lang w:eastAsia="fr-BE"/>
          <w14:ligatures w14:val="none"/>
        </w:rPr>
        <w:t xml:space="preserve">PT </w:t>
      </w:r>
      <w:proofErr w:type="spellStart"/>
      <w:r w:rsidRPr="00190504">
        <w:rPr>
          <w:rFonts w:ascii="Lato" w:eastAsia="Times New Roman" w:hAnsi="Lato" w:cs="Times New Roman"/>
          <w:b/>
          <w:bCs/>
          <w:color w:val="000000"/>
          <w:kern w:val="0"/>
          <w:sz w:val="23"/>
          <w:szCs w:val="23"/>
          <w:lang w:eastAsia="fr-BE"/>
          <w14:ligatures w14:val="none"/>
        </w:rPr>
        <w:t>Antam</w:t>
      </w:r>
      <w:proofErr w:type="spellEnd"/>
      <w:r w:rsidRPr="00190504">
        <w:rPr>
          <w:rFonts w:ascii="Lato" w:eastAsia="Times New Roman" w:hAnsi="Lato" w:cs="Times New Roman"/>
          <w:color w:val="000000"/>
          <w:kern w:val="0"/>
          <w:sz w:val="23"/>
          <w:szCs w:val="23"/>
          <w:lang w:eastAsia="fr-BE"/>
          <w14:ligatures w14:val="none"/>
        </w:rPr>
        <w:t> et quelle quantité de fonte de nickel a été expédiée par les autres producteurs indonésiens. Les ventes effectuées en direction des autres pays européens ne sont pas couvertes par la douane. L’Inde et la Corée du Sud sont des débouchés réguliers mais l’essentiel des exportations est réservé à la Chine. La production de ferronickel et de fonte de nickel de l’Indonésie s’élève à 7,93 millions de tonnes, soit 93,81% des 8,45 millions de tonnes importées par la Chine en 2023.</w:t>
      </w:r>
    </w:p>
    <w:p w14:paraId="3A141687"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04"/>
    <w:rsid w:val="00190504"/>
    <w:rsid w:val="00287462"/>
    <w:rsid w:val="002B033E"/>
    <w:rsid w:val="008D13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7A64"/>
  <w15:chartTrackingRefBased/>
  <w15:docId w15:val="{AD89E3F3-23DA-422C-A57A-94FDB370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90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90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9050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9050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9050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9050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050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050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050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050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9050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9050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9050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9050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9050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050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050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0504"/>
    <w:rPr>
      <w:rFonts w:eastAsiaTheme="majorEastAsia" w:cstheme="majorBidi"/>
      <w:color w:val="272727" w:themeColor="text1" w:themeTint="D8"/>
    </w:rPr>
  </w:style>
  <w:style w:type="paragraph" w:styleId="Titre">
    <w:name w:val="Title"/>
    <w:basedOn w:val="Normal"/>
    <w:next w:val="Normal"/>
    <w:link w:val="TitreCar"/>
    <w:uiPriority w:val="10"/>
    <w:qFormat/>
    <w:rsid w:val="00190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050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050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9050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0504"/>
    <w:pPr>
      <w:spacing w:before="160"/>
      <w:jc w:val="center"/>
    </w:pPr>
    <w:rPr>
      <w:i/>
      <w:iCs/>
      <w:color w:val="404040" w:themeColor="text1" w:themeTint="BF"/>
    </w:rPr>
  </w:style>
  <w:style w:type="character" w:customStyle="1" w:styleId="CitationCar">
    <w:name w:val="Citation Car"/>
    <w:basedOn w:val="Policepardfaut"/>
    <w:link w:val="Citation"/>
    <w:uiPriority w:val="29"/>
    <w:rsid w:val="00190504"/>
    <w:rPr>
      <w:i/>
      <w:iCs/>
      <w:color w:val="404040" w:themeColor="text1" w:themeTint="BF"/>
    </w:rPr>
  </w:style>
  <w:style w:type="paragraph" w:styleId="Paragraphedeliste">
    <w:name w:val="List Paragraph"/>
    <w:basedOn w:val="Normal"/>
    <w:uiPriority w:val="34"/>
    <w:qFormat/>
    <w:rsid w:val="00190504"/>
    <w:pPr>
      <w:ind w:left="720"/>
      <w:contextualSpacing/>
    </w:pPr>
  </w:style>
  <w:style w:type="character" w:styleId="Accentuationintense">
    <w:name w:val="Intense Emphasis"/>
    <w:basedOn w:val="Policepardfaut"/>
    <w:uiPriority w:val="21"/>
    <w:qFormat/>
    <w:rsid w:val="00190504"/>
    <w:rPr>
      <w:i/>
      <w:iCs/>
      <w:color w:val="0F4761" w:themeColor="accent1" w:themeShade="BF"/>
    </w:rPr>
  </w:style>
  <w:style w:type="paragraph" w:styleId="Citationintense">
    <w:name w:val="Intense Quote"/>
    <w:basedOn w:val="Normal"/>
    <w:next w:val="Normal"/>
    <w:link w:val="CitationintenseCar"/>
    <w:uiPriority w:val="30"/>
    <w:qFormat/>
    <w:rsid w:val="00190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90504"/>
    <w:rPr>
      <w:i/>
      <w:iCs/>
      <w:color w:val="0F4761" w:themeColor="accent1" w:themeShade="BF"/>
    </w:rPr>
  </w:style>
  <w:style w:type="character" w:styleId="Rfrenceintense">
    <w:name w:val="Intense Reference"/>
    <w:basedOn w:val="Policepardfaut"/>
    <w:uiPriority w:val="32"/>
    <w:qFormat/>
    <w:rsid w:val="001905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0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1817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2</cp:revision>
  <dcterms:created xsi:type="dcterms:W3CDTF">2024-06-24T12:29:00Z</dcterms:created>
  <dcterms:modified xsi:type="dcterms:W3CDTF">2024-06-24T12:29:00Z</dcterms:modified>
</cp:coreProperties>
</file>